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F8656" w14:textId="13384376" w:rsidR="00517199" w:rsidRDefault="00CA59B4" w:rsidP="009123BD">
      <w:pPr>
        <w:jc w:val="both"/>
        <w:rPr>
          <w:rFonts w:ascii="Arial" w:hAnsi="Arial" w:cs="Arial"/>
          <w:u w:val="single"/>
        </w:rPr>
      </w:pPr>
      <w:r w:rsidRPr="00CA59B4">
        <w:rPr>
          <w:rFonts w:ascii="Arial" w:hAnsi="Arial" w:cs="Arial"/>
          <w:u w:val="single"/>
        </w:rPr>
        <w:t>COMMUNIQUÉ</w:t>
      </w:r>
    </w:p>
    <w:p w14:paraId="148FBF70" w14:textId="77777777" w:rsidR="00CA59B4" w:rsidRDefault="00CA59B4" w:rsidP="009123BD">
      <w:pPr>
        <w:jc w:val="both"/>
        <w:rPr>
          <w:rFonts w:ascii="Arial" w:hAnsi="Arial" w:cs="Arial"/>
          <w:u w:val="single"/>
        </w:rPr>
      </w:pPr>
    </w:p>
    <w:p w14:paraId="0B5DE0C6" w14:textId="77777777" w:rsidR="00DA3BBB" w:rsidRPr="00CA59B4" w:rsidRDefault="00DA3BBB" w:rsidP="009123BD">
      <w:pPr>
        <w:jc w:val="both"/>
        <w:rPr>
          <w:rFonts w:ascii="Arial" w:hAnsi="Arial" w:cs="Arial"/>
          <w:u w:val="single"/>
        </w:rPr>
      </w:pPr>
    </w:p>
    <w:p w14:paraId="73F6C5D8" w14:textId="77777777" w:rsidR="00CA59B4" w:rsidRDefault="00CA59B4" w:rsidP="009123BD">
      <w:pPr>
        <w:jc w:val="both"/>
        <w:rPr>
          <w:rFonts w:ascii="Arial" w:hAnsi="Arial" w:cs="Arial"/>
        </w:rPr>
      </w:pPr>
    </w:p>
    <w:p w14:paraId="59A43241" w14:textId="62335E89" w:rsidR="00D73A8C" w:rsidRPr="009123BD" w:rsidRDefault="00517199" w:rsidP="009123BD">
      <w:pPr>
        <w:jc w:val="both"/>
        <w:rPr>
          <w:rFonts w:ascii="Arial" w:hAnsi="Arial" w:cs="Arial"/>
        </w:rPr>
      </w:pPr>
      <w:r>
        <w:rPr>
          <w:rFonts w:ascii="Arial" w:hAnsi="Arial" w:cs="Arial"/>
        </w:rPr>
        <w:t xml:space="preserve">              </w:t>
      </w:r>
      <w:r w:rsidR="00BB0F82">
        <w:rPr>
          <w:rFonts w:ascii="Arial" w:hAnsi="Arial" w:cs="Arial"/>
        </w:rPr>
        <w:t xml:space="preserve"> </w:t>
      </w:r>
      <w:r>
        <w:rPr>
          <w:rFonts w:ascii="Arial" w:hAnsi="Arial" w:cs="Arial"/>
        </w:rPr>
        <w:t xml:space="preserve">   </w:t>
      </w:r>
      <w:r w:rsidR="00D73A8C" w:rsidRPr="009123BD">
        <w:rPr>
          <w:rFonts w:ascii="Arial" w:hAnsi="Arial" w:cs="Arial"/>
        </w:rPr>
        <w:t>NOUVELLE DEMANDE EN R</w:t>
      </w:r>
      <w:r w:rsidR="009123BD">
        <w:rPr>
          <w:rFonts w:ascii="Arial" w:hAnsi="Arial" w:cs="Arial"/>
        </w:rPr>
        <w:t>É</w:t>
      </w:r>
      <w:r w:rsidR="00D73A8C" w:rsidRPr="009123BD">
        <w:rPr>
          <w:rFonts w:ascii="Arial" w:hAnsi="Arial" w:cs="Arial"/>
        </w:rPr>
        <w:t>VISION DANS L'AFFAIRE SEZNEC</w:t>
      </w:r>
    </w:p>
    <w:p w14:paraId="03CB8BD7" w14:textId="77777777" w:rsidR="00D73A8C" w:rsidRPr="00CA59B4" w:rsidRDefault="00D73A8C" w:rsidP="009123BD">
      <w:pPr>
        <w:jc w:val="both"/>
        <w:rPr>
          <w:rFonts w:ascii="Arial" w:hAnsi="Arial" w:cs="Arial"/>
          <w:sz w:val="22"/>
          <w:szCs w:val="22"/>
        </w:rPr>
      </w:pPr>
    </w:p>
    <w:p w14:paraId="1CA5B235" w14:textId="6E4F88CC" w:rsidR="00D73A8C" w:rsidRPr="00440211" w:rsidRDefault="00F31EF8" w:rsidP="00517199">
      <w:pPr>
        <w:ind w:left="510" w:right="-510"/>
        <w:jc w:val="both"/>
        <w:rPr>
          <w:rFonts w:ascii="Arial" w:hAnsi="Arial" w:cs="Arial"/>
        </w:rPr>
      </w:pPr>
      <w:r>
        <w:rPr>
          <w:rFonts w:ascii="Arial" w:hAnsi="Arial" w:cs="Arial"/>
        </w:rPr>
        <w:t xml:space="preserve">   </w:t>
      </w:r>
      <w:r w:rsidR="00F9695E">
        <w:rPr>
          <w:rFonts w:ascii="Arial" w:hAnsi="Arial" w:cs="Arial"/>
        </w:rPr>
        <w:t xml:space="preserve"> </w:t>
      </w:r>
      <w:r w:rsidR="00D73A8C" w:rsidRPr="00440211">
        <w:rPr>
          <w:rFonts w:ascii="Arial" w:hAnsi="Arial" w:cs="Arial"/>
        </w:rPr>
        <w:t xml:space="preserve">Deux </w:t>
      </w:r>
      <w:r w:rsidR="00C96A24">
        <w:rPr>
          <w:rFonts w:ascii="Arial" w:hAnsi="Arial" w:cs="Arial"/>
        </w:rPr>
        <w:t>p</w:t>
      </w:r>
      <w:r w:rsidR="00D73A8C" w:rsidRPr="00440211">
        <w:rPr>
          <w:rFonts w:ascii="Arial" w:hAnsi="Arial" w:cs="Arial"/>
        </w:rPr>
        <w:t>etits-fils de Guillaume Seznec, Jean-Yves et Gabriel Seznec,</w:t>
      </w:r>
      <w:r w:rsidR="001E3B38" w:rsidRPr="00440211">
        <w:rPr>
          <w:rFonts w:ascii="Arial" w:hAnsi="Arial" w:cs="Arial"/>
        </w:rPr>
        <w:t xml:space="preserve"> viennent de d</w:t>
      </w:r>
      <w:r w:rsidR="00BB0F82">
        <w:rPr>
          <w:rFonts w:ascii="Arial" w:hAnsi="Arial" w:cs="Arial"/>
        </w:rPr>
        <w:t>emand</w:t>
      </w:r>
      <w:r w:rsidR="001E3B38" w:rsidRPr="00440211">
        <w:rPr>
          <w:rFonts w:ascii="Arial" w:hAnsi="Arial" w:cs="Arial"/>
        </w:rPr>
        <w:t>er</w:t>
      </w:r>
      <w:r>
        <w:rPr>
          <w:rFonts w:ascii="Arial" w:hAnsi="Arial" w:cs="Arial"/>
        </w:rPr>
        <w:t>,</w:t>
      </w:r>
      <w:r w:rsidR="001E3B38" w:rsidRPr="00440211">
        <w:rPr>
          <w:rFonts w:ascii="Arial" w:hAnsi="Arial" w:cs="Arial"/>
        </w:rPr>
        <w:t xml:space="preserve"> par l'entremise de Me Denis Langlois, avocat honoraire, </w:t>
      </w:r>
      <w:r w:rsidR="00BB0F82">
        <w:rPr>
          <w:rFonts w:ascii="Arial" w:hAnsi="Arial" w:cs="Arial"/>
        </w:rPr>
        <w:t xml:space="preserve">la </w:t>
      </w:r>
      <w:r w:rsidR="001E3B38" w:rsidRPr="00440211">
        <w:rPr>
          <w:rFonts w:ascii="Arial" w:hAnsi="Arial" w:cs="Arial"/>
        </w:rPr>
        <w:t xml:space="preserve">révision du procès de leur grand-père condamné en </w:t>
      </w:r>
      <w:r w:rsidR="00EB3C3A" w:rsidRPr="00440211">
        <w:rPr>
          <w:rFonts w:ascii="Arial" w:hAnsi="Arial" w:cs="Arial"/>
        </w:rPr>
        <w:t xml:space="preserve">novembre </w:t>
      </w:r>
      <w:r w:rsidR="001E3B38" w:rsidRPr="00440211">
        <w:rPr>
          <w:rFonts w:ascii="Arial" w:hAnsi="Arial" w:cs="Arial"/>
        </w:rPr>
        <w:t xml:space="preserve">1924 </w:t>
      </w:r>
      <w:r w:rsidR="00BB0F82">
        <w:rPr>
          <w:rFonts w:ascii="Arial" w:hAnsi="Arial" w:cs="Arial"/>
        </w:rPr>
        <w:t xml:space="preserve">par la Cour d'Assises </w:t>
      </w:r>
      <w:r w:rsidR="002C6BF7">
        <w:rPr>
          <w:rFonts w:ascii="Arial" w:hAnsi="Arial" w:cs="Arial"/>
        </w:rPr>
        <w:t xml:space="preserve">de Quimper </w:t>
      </w:r>
      <w:r w:rsidR="001E3B38" w:rsidRPr="00440211">
        <w:rPr>
          <w:rFonts w:ascii="Arial" w:hAnsi="Arial" w:cs="Arial"/>
        </w:rPr>
        <w:t>aux travaux forcés à perpétuité, et donc au bagne</w:t>
      </w:r>
      <w:r w:rsidR="00B33F35" w:rsidRPr="00440211">
        <w:rPr>
          <w:rFonts w:ascii="Arial" w:hAnsi="Arial" w:cs="Arial"/>
        </w:rPr>
        <w:t xml:space="preserve"> de Guyane</w:t>
      </w:r>
      <w:r w:rsidR="001E3B38" w:rsidRPr="00440211">
        <w:rPr>
          <w:rFonts w:ascii="Arial" w:hAnsi="Arial" w:cs="Arial"/>
        </w:rPr>
        <w:t xml:space="preserve">, pour le meurtre de </w:t>
      </w:r>
      <w:r w:rsidR="00BB0F82">
        <w:rPr>
          <w:rFonts w:ascii="Arial" w:hAnsi="Arial" w:cs="Arial"/>
        </w:rPr>
        <w:t xml:space="preserve">son ami </w:t>
      </w:r>
      <w:r w:rsidR="001E3B38" w:rsidRPr="00440211">
        <w:rPr>
          <w:rFonts w:ascii="Arial" w:hAnsi="Arial" w:cs="Arial"/>
        </w:rPr>
        <w:t>Pierre Quémeneur et pour faux en écriture.</w:t>
      </w:r>
    </w:p>
    <w:p w14:paraId="04B5CC0E" w14:textId="5483BF7A" w:rsidR="001E3B38" w:rsidRPr="00440211" w:rsidRDefault="00F31EF8" w:rsidP="00517199">
      <w:pPr>
        <w:ind w:left="510" w:right="-510"/>
        <w:jc w:val="both"/>
        <w:rPr>
          <w:rFonts w:ascii="Arial" w:hAnsi="Arial" w:cs="Arial"/>
        </w:rPr>
      </w:pPr>
      <w:r>
        <w:rPr>
          <w:rFonts w:ascii="Arial" w:hAnsi="Arial" w:cs="Arial"/>
        </w:rPr>
        <w:t xml:space="preserve">  </w:t>
      </w:r>
      <w:r w:rsidR="00F9695E">
        <w:rPr>
          <w:rFonts w:ascii="Arial" w:hAnsi="Arial" w:cs="Arial"/>
        </w:rPr>
        <w:t xml:space="preserve"> </w:t>
      </w:r>
      <w:r>
        <w:rPr>
          <w:rFonts w:ascii="Arial" w:hAnsi="Arial" w:cs="Arial"/>
        </w:rPr>
        <w:t xml:space="preserve"> </w:t>
      </w:r>
      <w:r w:rsidR="00450FEA">
        <w:rPr>
          <w:rFonts w:ascii="Arial" w:hAnsi="Arial" w:cs="Arial"/>
        </w:rPr>
        <w:t xml:space="preserve">Quatorze </w:t>
      </w:r>
      <w:r w:rsidR="007B68FA" w:rsidRPr="00440211">
        <w:rPr>
          <w:rFonts w:ascii="Arial" w:hAnsi="Arial" w:cs="Arial"/>
        </w:rPr>
        <w:t>requêt</w:t>
      </w:r>
      <w:r w:rsidR="001E3B38" w:rsidRPr="00440211">
        <w:rPr>
          <w:rFonts w:ascii="Arial" w:hAnsi="Arial" w:cs="Arial"/>
        </w:rPr>
        <w:t xml:space="preserve">es en révision ont </w:t>
      </w:r>
      <w:r w:rsidR="002C6BF7">
        <w:rPr>
          <w:rFonts w:ascii="Arial" w:hAnsi="Arial" w:cs="Arial"/>
        </w:rPr>
        <w:t xml:space="preserve">à ce jour </w:t>
      </w:r>
      <w:r w:rsidR="001E3B38" w:rsidRPr="00440211">
        <w:rPr>
          <w:rFonts w:ascii="Arial" w:hAnsi="Arial" w:cs="Arial"/>
        </w:rPr>
        <w:t>été déposées et rejetées. Cependant, la présente demande est totalement différente. Elle ne conteste pas la condamnation de</w:t>
      </w:r>
      <w:r w:rsidR="0087445E" w:rsidRPr="00440211">
        <w:rPr>
          <w:rFonts w:ascii="Arial" w:hAnsi="Arial" w:cs="Arial"/>
        </w:rPr>
        <w:t xml:space="preserve"> </w:t>
      </w:r>
      <w:r w:rsidR="001E3B38" w:rsidRPr="00440211">
        <w:rPr>
          <w:rFonts w:ascii="Arial" w:hAnsi="Arial" w:cs="Arial"/>
        </w:rPr>
        <w:t xml:space="preserve">Seznec pour faux en écriture, mais considère qu'il existe un doute important sur sa culpabilité dans le meurtre de Quémeneur. Un siècle après, en dépit de toutes les enquêtes et recherches, </w:t>
      </w:r>
      <w:r w:rsidR="00EB3C3A" w:rsidRPr="00440211">
        <w:rPr>
          <w:rFonts w:ascii="Arial" w:hAnsi="Arial" w:cs="Arial"/>
        </w:rPr>
        <w:t xml:space="preserve">personne ne peut dire </w:t>
      </w:r>
      <w:r w:rsidR="001E3B38" w:rsidRPr="00440211">
        <w:rPr>
          <w:rFonts w:ascii="Arial" w:hAnsi="Arial" w:cs="Arial"/>
        </w:rPr>
        <w:t xml:space="preserve">où, quand et </w:t>
      </w:r>
      <w:r w:rsidR="005F4A42" w:rsidRPr="00440211">
        <w:rPr>
          <w:rFonts w:ascii="Arial" w:hAnsi="Arial" w:cs="Arial"/>
        </w:rPr>
        <w:t xml:space="preserve">comment </w:t>
      </w:r>
      <w:r w:rsidR="001E3B38" w:rsidRPr="00440211">
        <w:rPr>
          <w:rFonts w:ascii="Arial" w:hAnsi="Arial" w:cs="Arial"/>
        </w:rPr>
        <w:t xml:space="preserve">Quémeneur </w:t>
      </w:r>
      <w:r w:rsidR="0087445E" w:rsidRPr="00440211">
        <w:rPr>
          <w:rFonts w:ascii="Arial" w:hAnsi="Arial" w:cs="Arial"/>
        </w:rPr>
        <w:t xml:space="preserve">est </w:t>
      </w:r>
      <w:r w:rsidR="001E3B38" w:rsidRPr="00440211">
        <w:rPr>
          <w:rFonts w:ascii="Arial" w:hAnsi="Arial" w:cs="Arial"/>
        </w:rPr>
        <w:t>mort.</w:t>
      </w:r>
      <w:r w:rsidR="00BB0F82">
        <w:rPr>
          <w:rFonts w:ascii="Arial" w:hAnsi="Arial" w:cs="Arial"/>
        </w:rPr>
        <w:t xml:space="preserve"> On n'a pas retrouvé son c</w:t>
      </w:r>
      <w:r w:rsidR="006D4069">
        <w:rPr>
          <w:rFonts w:ascii="Arial" w:hAnsi="Arial" w:cs="Arial"/>
        </w:rPr>
        <w:t>adavre</w:t>
      </w:r>
      <w:r w:rsidR="001E3B38" w:rsidRPr="00440211">
        <w:rPr>
          <w:rFonts w:ascii="Arial" w:hAnsi="Arial" w:cs="Arial"/>
        </w:rPr>
        <w:t>.</w:t>
      </w:r>
      <w:r w:rsidR="005F4A42" w:rsidRPr="00440211">
        <w:rPr>
          <w:rFonts w:ascii="Arial" w:hAnsi="Arial" w:cs="Arial"/>
        </w:rPr>
        <w:t xml:space="preserve"> Ce doute, conformément à tous les principes juridiques </w:t>
      </w:r>
      <w:r w:rsidR="00BC1E06">
        <w:rPr>
          <w:rFonts w:ascii="Arial" w:hAnsi="Arial" w:cs="Arial"/>
        </w:rPr>
        <w:t>applicables</w:t>
      </w:r>
      <w:r w:rsidR="005F4A42" w:rsidRPr="00440211">
        <w:rPr>
          <w:rFonts w:ascii="Arial" w:hAnsi="Arial" w:cs="Arial"/>
        </w:rPr>
        <w:t>, doit être reconnu dans l'affaire Seznec.</w:t>
      </w:r>
    </w:p>
    <w:p w14:paraId="53317D75" w14:textId="44B59FAA" w:rsidR="005F4A42" w:rsidRPr="00440211" w:rsidRDefault="00F31EF8" w:rsidP="00440211">
      <w:pPr>
        <w:ind w:left="397" w:right="-510"/>
        <w:jc w:val="both"/>
        <w:rPr>
          <w:rFonts w:ascii="Arial" w:hAnsi="Arial" w:cs="Arial"/>
        </w:rPr>
      </w:pPr>
      <w:r>
        <w:rPr>
          <w:rFonts w:ascii="Arial" w:hAnsi="Arial" w:cs="Arial"/>
        </w:rPr>
        <w:t xml:space="preserve">  </w:t>
      </w:r>
      <w:r w:rsidR="00F9695E">
        <w:rPr>
          <w:rFonts w:ascii="Arial" w:hAnsi="Arial" w:cs="Arial"/>
        </w:rPr>
        <w:t xml:space="preserve"> </w:t>
      </w:r>
      <w:r>
        <w:rPr>
          <w:rFonts w:ascii="Arial" w:hAnsi="Arial" w:cs="Arial"/>
        </w:rPr>
        <w:t xml:space="preserve"> </w:t>
      </w:r>
      <w:r w:rsidR="005F4A42" w:rsidRPr="00440211">
        <w:rPr>
          <w:rFonts w:ascii="Arial" w:hAnsi="Arial" w:cs="Arial"/>
        </w:rPr>
        <w:t xml:space="preserve">Le principal élément versé à l'appui de cette nouvelle demande est le témoignage de "Petit-Guillaume", l'un des fils de Seznec. </w:t>
      </w:r>
      <w:r w:rsidR="00F846A0" w:rsidRPr="00440211">
        <w:rPr>
          <w:rFonts w:ascii="Arial" w:hAnsi="Arial" w:cs="Arial"/>
        </w:rPr>
        <w:t>À</w:t>
      </w:r>
      <w:r w:rsidR="005F4A42" w:rsidRPr="00440211">
        <w:rPr>
          <w:rFonts w:ascii="Arial" w:hAnsi="Arial" w:cs="Arial"/>
        </w:rPr>
        <w:t xml:space="preserve"> la fin de sa vie, il a révélé à trois personnes : son neveu Bernard Le Her (qui en a fait part à Me Langlois) et deux de ses enfants, Jean-Yves et Gabriel Seznec, qu'en mai 1923, alors qu'il </w:t>
      </w:r>
      <w:r w:rsidR="00F846A0" w:rsidRPr="00440211">
        <w:rPr>
          <w:rFonts w:ascii="Arial" w:hAnsi="Arial" w:cs="Arial"/>
        </w:rPr>
        <w:t>était âgé</w:t>
      </w:r>
      <w:r w:rsidR="005F4A42" w:rsidRPr="00440211">
        <w:rPr>
          <w:rFonts w:ascii="Arial" w:hAnsi="Arial" w:cs="Arial"/>
        </w:rPr>
        <w:t xml:space="preserve"> </w:t>
      </w:r>
      <w:r w:rsidR="00EB3C3A" w:rsidRPr="00440211">
        <w:rPr>
          <w:rFonts w:ascii="Arial" w:hAnsi="Arial" w:cs="Arial"/>
        </w:rPr>
        <w:t>d'</w:t>
      </w:r>
      <w:r w:rsidR="005F4A42" w:rsidRPr="00440211">
        <w:rPr>
          <w:rFonts w:ascii="Arial" w:hAnsi="Arial" w:cs="Arial"/>
        </w:rPr>
        <w:t xml:space="preserve">une douzaine d'années, il a été témoin, dans la maison familiale de Morlaix (Finistère) de la mort de Quémeneur. C'est </w:t>
      </w:r>
      <w:r w:rsidR="007B68FA" w:rsidRPr="00440211">
        <w:rPr>
          <w:rFonts w:ascii="Arial" w:hAnsi="Arial" w:cs="Arial"/>
        </w:rPr>
        <w:t>sa</w:t>
      </w:r>
      <w:r w:rsidR="005F4A42" w:rsidRPr="00440211">
        <w:rPr>
          <w:rFonts w:ascii="Arial" w:hAnsi="Arial" w:cs="Arial"/>
        </w:rPr>
        <w:t xml:space="preserve"> </w:t>
      </w:r>
      <w:r w:rsidR="007B68FA" w:rsidRPr="00440211">
        <w:rPr>
          <w:rFonts w:ascii="Arial" w:hAnsi="Arial" w:cs="Arial"/>
        </w:rPr>
        <w:t>mère</w:t>
      </w:r>
      <w:r w:rsidR="005F4A42" w:rsidRPr="00440211">
        <w:rPr>
          <w:rFonts w:ascii="Arial" w:hAnsi="Arial" w:cs="Arial"/>
        </w:rPr>
        <w:t>,</w:t>
      </w:r>
      <w:r w:rsidR="00F846A0" w:rsidRPr="00440211">
        <w:rPr>
          <w:rFonts w:ascii="Arial" w:hAnsi="Arial" w:cs="Arial"/>
        </w:rPr>
        <w:t xml:space="preserve"> </w:t>
      </w:r>
      <w:r w:rsidR="005F4A42" w:rsidRPr="00440211">
        <w:rPr>
          <w:rFonts w:ascii="Arial" w:hAnsi="Arial" w:cs="Arial"/>
        </w:rPr>
        <w:t xml:space="preserve">Marie-Jeanne Seznec, qui aurait involontairement provoqué la mort de Quémeneur en le repoussant, alors qu'il se montrait trop entreprenant à son égard. De retour, Seznec n'aurait pu que constater </w:t>
      </w:r>
      <w:r w:rsidR="007B68FA" w:rsidRPr="00440211">
        <w:rPr>
          <w:rFonts w:ascii="Arial" w:hAnsi="Arial" w:cs="Arial"/>
        </w:rPr>
        <w:t xml:space="preserve">ce </w:t>
      </w:r>
      <w:r w:rsidR="005F4A42" w:rsidRPr="00440211">
        <w:rPr>
          <w:rFonts w:ascii="Arial" w:hAnsi="Arial" w:cs="Arial"/>
        </w:rPr>
        <w:t>décès</w:t>
      </w:r>
      <w:r w:rsidR="00B84BDE" w:rsidRPr="00440211">
        <w:rPr>
          <w:rFonts w:ascii="Arial" w:hAnsi="Arial" w:cs="Arial"/>
        </w:rPr>
        <w:t xml:space="preserve"> et aurait participé à la confection des faux</w:t>
      </w:r>
      <w:r w:rsidR="001A7251" w:rsidRPr="00440211">
        <w:rPr>
          <w:rFonts w:ascii="Arial" w:hAnsi="Arial" w:cs="Arial"/>
        </w:rPr>
        <w:t>,</w:t>
      </w:r>
      <w:r w:rsidR="00B84BDE" w:rsidRPr="00440211">
        <w:rPr>
          <w:rFonts w:ascii="Arial" w:hAnsi="Arial" w:cs="Arial"/>
        </w:rPr>
        <w:t xml:space="preserve"> </w:t>
      </w:r>
      <w:r w:rsidR="00F846A0" w:rsidRPr="00440211">
        <w:rPr>
          <w:rFonts w:ascii="Arial" w:hAnsi="Arial" w:cs="Arial"/>
        </w:rPr>
        <w:t xml:space="preserve">afin de </w:t>
      </w:r>
      <w:r w:rsidR="00B84BDE" w:rsidRPr="00440211">
        <w:rPr>
          <w:rFonts w:ascii="Arial" w:hAnsi="Arial" w:cs="Arial"/>
        </w:rPr>
        <w:t xml:space="preserve">ne pas perdre une somme versée en dessous-de-table pour l'achat d'une propriété appartenant à Quémeneur. On ignore où </w:t>
      </w:r>
      <w:r w:rsidR="007B68FA" w:rsidRPr="00440211">
        <w:rPr>
          <w:rFonts w:ascii="Arial" w:hAnsi="Arial" w:cs="Arial"/>
        </w:rPr>
        <w:t xml:space="preserve">le </w:t>
      </w:r>
      <w:r w:rsidR="00B84BDE" w:rsidRPr="00440211">
        <w:rPr>
          <w:rFonts w:ascii="Arial" w:hAnsi="Arial" w:cs="Arial"/>
        </w:rPr>
        <w:t>corps a été enterré.</w:t>
      </w:r>
    </w:p>
    <w:p w14:paraId="3C381EC1" w14:textId="000F3B90" w:rsidR="00B33F35" w:rsidRDefault="0087445E" w:rsidP="00440211">
      <w:pPr>
        <w:ind w:left="397" w:right="-510"/>
        <w:jc w:val="both"/>
        <w:rPr>
          <w:rFonts w:ascii="Arial" w:hAnsi="Arial" w:cs="Arial"/>
        </w:rPr>
      </w:pPr>
      <w:r w:rsidRPr="00440211">
        <w:rPr>
          <w:rFonts w:ascii="Arial" w:hAnsi="Arial" w:cs="Arial"/>
        </w:rPr>
        <w:t xml:space="preserve">    Le doute doit profiter à l'accusé. </w:t>
      </w:r>
      <w:r w:rsidR="00B33F35" w:rsidRPr="00440211">
        <w:rPr>
          <w:rFonts w:ascii="Arial" w:hAnsi="Arial" w:cs="Arial"/>
        </w:rPr>
        <w:t xml:space="preserve">C'est </w:t>
      </w:r>
      <w:r w:rsidR="00F31EF8">
        <w:rPr>
          <w:rFonts w:ascii="Arial" w:hAnsi="Arial" w:cs="Arial"/>
        </w:rPr>
        <w:t>un</w:t>
      </w:r>
      <w:r w:rsidR="00B33F35" w:rsidRPr="00440211">
        <w:rPr>
          <w:rFonts w:ascii="Arial" w:hAnsi="Arial" w:cs="Arial"/>
        </w:rPr>
        <w:t xml:space="preserve"> principe essentiel dont les deux petits-fils et leur avocat demandent aujourd'hui l'application</w:t>
      </w:r>
      <w:r w:rsidR="00F846A0" w:rsidRPr="00440211">
        <w:rPr>
          <w:rFonts w:ascii="Arial" w:hAnsi="Arial" w:cs="Arial"/>
        </w:rPr>
        <w:t xml:space="preserve"> aux magistrats de la Cour de révision</w:t>
      </w:r>
      <w:r w:rsidR="00B33F35" w:rsidRPr="00440211">
        <w:rPr>
          <w:rFonts w:ascii="Arial" w:hAnsi="Arial" w:cs="Arial"/>
        </w:rPr>
        <w:t xml:space="preserve">. Seznec a subi le doute qui condamne. Le moment n'est-il pas venu de le faire bénéficier du doute qui absout ? Le doute équitable qui permettrait d'apporter un </w:t>
      </w:r>
      <w:r w:rsidR="00B45187">
        <w:rPr>
          <w:rFonts w:ascii="Arial" w:hAnsi="Arial" w:cs="Arial"/>
        </w:rPr>
        <w:t>dénouement</w:t>
      </w:r>
      <w:r w:rsidR="00F31EF8">
        <w:rPr>
          <w:rFonts w:ascii="Arial" w:hAnsi="Arial" w:cs="Arial"/>
        </w:rPr>
        <w:t xml:space="preserve"> </w:t>
      </w:r>
      <w:r w:rsidR="00B33F35" w:rsidRPr="00440211">
        <w:rPr>
          <w:rFonts w:ascii="Arial" w:hAnsi="Arial" w:cs="Arial"/>
        </w:rPr>
        <w:t>satisfaisant à cette doul</w:t>
      </w:r>
      <w:r w:rsidR="006501D1" w:rsidRPr="00440211">
        <w:rPr>
          <w:rFonts w:ascii="Arial" w:hAnsi="Arial" w:cs="Arial"/>
        </w:rPr>
        <w:t>o</w:t>
      </w:r>
      <w:r w:rsidR="00B33F35" w:rsidRPr="00440211">
        <w:rPr>
          <w:rFonts w:ascii="Arial" w:hAnsi="Arial" w:cs="Arial"/>
        </w:rPr>
        <w:t>ureuse affaire</w:t>
      </w:r>
      <w:r w:rsidR="00F846A0" w:rsidRPr="00440211">
        <w:rPr>
          <w:rFonts w:ascii="Arial" w:hAnsi="Arial" w:cs="Arial"/>
        </w:rPr>
        <w:t xml:space="preserve"> qui </w:t>
      </w:r>
      <w:r w:rsidR="00EB3C3A" w:rsidRPr="00440211">
        <w:rPr>
          <w:rFonts w:ascii="Arial" w:hAnsi="Arial" w:cs="Arial"/>
        </w:rPr>
        <w:t>troubl</w:t>
      </w:r>
      <w:r w:rsidR="00F846A0" w:rsidRPr="00440211">
        <w:rPr>
          <w:rFonts w:ascii="Arial" w:hAnsi="Arial" w:cs="Arial"/>
        </w:rPr>
        <w:t>e les consciences depuis plus d'un siècle.</w:t>
      </w:r>
    </w:p>
    <w:p w14:paraId="1E9E158C" w14:textId="77777777" w:rsidR="00CA64CF" w:rsidRDefault="00CA64CF" w:rsidP="00440211">
      <w:pPr>
        <w:ind w:left="397" w:right="-510"/>
        <w:jc w:val="both"/>
        <w:rPr>
          <w:rFonts w:ascii="Arial" w:hAnsi="Arial" w:cs="Arial"/>
        </w:rPr>
      </w:pPr>
    </w:p>
    <w:p w14:paraId="637B48E0" w14:textId="518E07CB" w:rsidR="00CA64CF" w:rsidRPr="00440211" w:rsidRDefault="00CA64CF" w:rsidP="00440211">
      <w:pPr>
        <w:ind w:left="397" w:right="-510"/>
        <w:jc w:val="both"/>
        <w:rPr>
          <w:rFonts w:ascii="Arial" w:hAnsi="Arial" w:cs="Arial"/>
        </w:rPr>
      </w:pPr>
      <w:r>
        <w:rPr>
          <w:rFonts w:ascii="Arial" w:hAnsi="Arial" w:cs="Arial"/>
        </w:rPr>
        <w:t xml:space="preserve">                                                                   </w:t>
      </w:r>
      <w:r w:rsidR="004D5975">
        <w:rPr>
          <w:rFonts w:ascii="Arial" w:hAnsi="Arial" w:cs="Arial"/>
        </w:rPr>
        <w:t xml:space="preserve">     </w:t>
      </w:r>
      <w:r>
        <w:rPr>
          <w:rFonts w:ascii="Arial" w:hAnsi="Arial" w:cs="Arial"/>
        </w:rPr>
        <w:t xml:space="preserve">      Le 30 septembre 2026</w:t>
      </w:r>
    </w:p>
    <w:sectPr w:rsidR="00CA64CF" w:rsidRPr="00440211" w:rsidSect="00CA59B4">
      <w:pgSz w:w="11906" w:h="16838"/>
      <w:pgMar w:top="964" w:right="1701"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A8C"/>
    <w:rsid w:val="00036328"/>
    <w:rsid w:val="00136B62"/>
    <w:rsid w:val="001A7251"/>
    <w:rsid w:val="001E3B38"/>
    <w:rsid w:val="0025376B"/>
    <w:rsid w:val="002C6BF7"/>
    <w:rsid w:val="00385BC9"/>
    <w:rsid w:val="003F13A7"/>
    <w:rsid w:val="00431828"/>
    <w:rsid w:val="00440211"/>
    <w:rsid w:val="00450FEA"/>
    <w:rsid w:val="004D5975"/>
    <w:rsid w:val="00517199"/>
    <w:rsid w:val="005F4A42"/>
    <w:rsid w:val="006501D1"/>
    <w:rsid w:val="0069368C"/>
    <w:rsid w:val="006A1AA7"/>
    <w:rsid w:val="006D4069"/>
    <w:rsid w:val="007B68FA"/>
    <w:rsid w:val="0087445E"/>
    <w:rsid w:val="008A260E"/>
    <w:rsid w:val="009123BD"/>
    <w:rsid w:val="00942752"/>
    <w:rsid w:val="00963AA6"/>
    <w:rsid w:val="0098316A"/>
    <w:rsid w:val="00AB46E2"/>
    <w:rsid w:val="00B13313"/>
    <w:rsid w:val="00B179AC"/>
    <w:rsid w:val="00B33F35"/>
    <w:rsid w:val="00B45187"/>
    <w:rsid w:val="00B84BDE"/>
    <w:rsid w:val="00B90E42"/>
    <w:rsid w:val="00BB0F82"/>
    <w:rsid w:val="00BC1E06"/>
    <w:rsid w:val="00BF2FD7"/>
    <w:rsid w:val="00C96A24"/>
    <w:rsid w:val="00CA59B4"/>
    <w:rsid w:val="00CA64CF"/>
    <w:rsid w:val="00CB0152"/>
    <w:rsid w:val="00D73A8C"/>
    <w:rsid w:val="00DA3BBB"/>
    <w:rsid w:val="00DD556F"/>
    <w:rsid w:val="00EB3C3A"/>
    <w:rsid w:val="00F31EF8"/>
    <w:rsid w:val="00F846A0"/>
    <w:rsid w:val="00F969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076013"/>
  <w15:chartTrackingRefBased/>
  <w15:docId w15:val="{58FD05B2-64A7-46AD-9C83-64E4BD203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73A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D73A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D73A8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D73A8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D73A8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D73A8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73A8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73A8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73A8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73A8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D73A8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D73A8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D73A8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D73A8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D73A8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73A8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73A8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73A8C"/>
    <w:rPr>
      <w:rFonts w:eastAsiaTheme="majorEastAsia" w:cstheme="majorBidi"/>
      <w:color w:val="272727" w:themeColor="text1" w:themeTint="D8"/>
    </w:rPr>
  </w:style>
  <w:style w:type="paragraph" w:styleId="Titre">
    <w:name w:val="Title"/>
    <w:basedOn w:val="Normal"/>
    <w:next w:val="Normal"/>
    <w:link w:val="TitreCar"/>
    <w:uiPriority w:val="10"/>
    <w:qFormat/>
    <w:rsid w:val="00D73A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73A8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73A8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73A8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73A8C"/>
    <w:pPr>
      <w:spacing w:before="160"/>
      <w:jc w:val="center"/>
    </w:pPr>
    <w:rPr>
      <w:i/>
      <w:iCs/>
      <w:color w:val="404040" w:themeColor="text1" w:themeTint="BF"/>
    </w:rPr>
  </w:style>
  <w:style w:type="character" w:customStyle="1" w:styleId="CitationCar">
    <w:name w:val="Citation Car"/>
    <w:basedOn w:val="Policepardfaut"/>
    <w:link w:val="Citation"/>
    <w:uiPriority w:val="29"/>
    <w:rsid w:val="00D73A8C"/>
    <w:rPr>
      <w:i/>
      <w:iCs/>
      <w:color w:val="404040" w:themeColor="text1" w:themeTint="BF"/>
    </w:rPr>
  </w:style>
  <w:style w:type="paragraph" w:styleId="Paragraphedeliste">
    <w:name w:val="List Paragraph"/>
    <w:basedOn w:val="Normal"/>
    <w:uiPriority w:val="34"/>
    <w:qFormat/>
    <w:rsid w:val="00D73A8C"/>
    <w:pPr>
      <w:ind w:left="720"/>
      <w:contextualSpacing/>
    </w:pPr>
  </w:style>
  <w:style w:type="character" w:styleId="Accentuationintense">
    <w:name w:val="Intense Emphasis"/>
    <w:basedOn w:val="Policepardfaut"/>
    <w:uiPriority w:val="21"/>
    <w:qFormat/>
    <w:rsid w:val="00D73A8C"/>
    <w:rPr>
      <w:i/>
      <w:iCs/>
      <w:color w:val="0F4761" w:themeColor="accent1" w:themeShade="BF"/>
    </w:rPr>
  </w:style>
  <w:style w:type="paragraph" w:styleId="Citationintense">
    <w:name w:val="Intense Quote"/>
    <w:basedOn w:val="Normal"/>
    <w:next w:val="Normal"/>
    <w:link w:val="CitationintenseCar"/>
    <w:uiPriority w:val="30"/>
    <w:qFormat/>
    <w:rsid w:val="00D73A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D73A8C"/>
    <w:rPr>
      <w:i/>
      <w:iCs/>
      <w:color w:val="0F4761" w:themeColor="accent1" w:themeShade="BF"/>
    </w:rPr>
  </w:style>
  <w:style w:type="character" w:styleId="Rfrenceintense">
    <w:name w:val="Intense Reference"/>
    <w:basedOn w:val="Policepardfaut"/>
    <w:uiPriority w:val="32"/>
    <w:qFormat/>
    <w:rsid w:val="00D73A8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376</Words>
  <Characters>2068</Characters>
  <Application>Microsoft Office Word</Application>
  <DocSecurity>0</DocSecurity>
  <Lines>17</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 Langlois</dc:creator>
  <cp:keywords/>
  <dc:description/>
  <cp:lastModifiedBy>Denis Langlois</cp:lastModifiedBy>
  <cp:revision>22</cp:revision>
  <cp:lastPrinted>2026-09-20T08:49:00Z</cp:lastPrinted>
  <dcterms:created xsi:type="dcterms:W3CDTF">2026-09-19T08:56:00Z</dcterms:created>
  <dcterms:modified xsi:type="dcterms:W3CDTF">2026-09-29T12:03:00Z</dcterms:modified>
</cp:coreProperties>
</file>